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BB10FF" w14:textId="7D084E20" w:rsidR="001B48D2" w:rsidRDefault="001B48D2" w:rsidP="002B4278">
      <w:pPr>
        <w:rPr>
          <w:b/>
          <w:bCs/>
        </w:rPr>
      </w:pPr>
      <w:r>
        <w:rPr>
          <w:noProof/>
        </w:rPr>
        <w:drawing>
          <wp:inline distT="0" distB="0" distL="0" distR="0" wp14:anchorId="42AA2A12" wp14:editId="4A965FB5">
            <wp:extent cx="1270000" cy="609600"/>
            <wp:effectExtent l="0" t="0" r="6350" b="0"/>
            <wp:docPr id="293487843" name="Image 1" descr="signature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3487843" name="Image 1" descr="signatureImage"/>
                    <pic:cNvPicPr>
                      <a:picLocks noChangeAspect="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1270000" cy="609600"/>
                    </a:xfrm>
                    <a:prstGeom prst="rect">
                      <a:avLst/>
                    </a:prstGeom>
                    <a:noFill/>
                    <a:ln>
                      <a:noFill/>
                    </a:ln>
                  </pic:spPr>
                </pic:pic>
              </a:graphicData>
            </a:graphic>
          </wp:inline>
        </w:drawing>
      </w:r>
    </w:p>
    <w:p w14:paraId="6EB4E0B3" w14:textId="77777777" w:rsidR="001B48D2" w:rsidRDefault="001B48D2" w:rsidP="002B4278">
      <w:pPr>
        <w:rPr>
          <w:b/>
          <w:bCs/>
        </w:rPr>
      </w:pPr>
    </w:p>
    <w:p w14:paraId="5A65C164" w14:textId="23A2CC56" w:rsidR="002B4278" w:rsidRDefault="002B4278" w:rsidP="002B4278">
      <w:pPr>
        <w:rPr>
          <w:b/>
          <w:bCs/>
        </w:rPr>
      </w:pPr>
      <w:r w:rsidRPr="002B4278">
        <w:rPr>
          <w:b/>
          <w:bCs/>
        </w:rPr>
        <w:t>Cartan Trade — Procédure Globale d’Alerte Professionnelle (Groupe)</w:t>
      </w:r>
    </w:p>
    <w:p w14:paraId="20FAA4F0" w14:textId="77777777" w:rsidR="006125E4" w:rsidRPr="006125E4" w:rsidRDefault="006125E4" w:rsidP="002B4278">
      <w:pPr>
        <w:rPr>
          <w:b/>
          <w:bCs/>
        </w:rPr>
      </w:pPr>
    </w:p>
    <w:p w14:paraId="0CB9072D" w14:textId="77777777" w:rsidR="002B4278" w:rsidRPr="002B4278" w:rsidRDefault="002B4278" w:rsidP="002B4278">
      <w:pPr>
        <w:rPr>
          <w:b/>
          <w:bCs/>
        </w:rPr>
      </w:pPr>
      <w:r w:rsidRPr="002B4278">
        <w:rPr>
          <w:b/>
          <w:bCs/>
        </w:rPr>
        <w:t>1. Objectif &amp; Fondements juridiques</w:t>
      </w:r>
    </w:p>
    <w:p w14:paraId="79111060" w14:textId="77777777" w:rsidR="002B4278" w:rsidRDefault="002B4278" w:rsidP="002B4278">
      <w:pPr>
        <w:jc w:val="both"/>
      </w:pPr>
      <w:r w:rsidRPr="002B4278">
        <w:t>Dans le cadre de sa responsabilité d’entreprise et de son engagement en faveur de l’intégrité, de la conduite éthique et de la conformité réglementaire dans l’ensemble de ses activités, le Groupe Cartan Trade a adopté un dispositif complet d’alerte professionnelle, conforme à la Directive (UE) 2019/1937 sur les lanceurs d’alerte et à ses transpositions nationales dans les pays où le Groupe opère.</w:t>
      </w:r>
    </w:p>
    <w:p w14:paraId="315507C4" w14:textId="3100718E" w:rsidR="002B4278" w:rsidRPr="002B4278" w:rsidRDefault="002B4278" w:rsidP="002B4278">
      <w:pPr>
        <w:jc w:val="both"/>
      </w:pPr>
      <w:r w:rsidRPr="002B4278">
        <w:t xml:space="preserve">Cela inclut notamment la </w:t>
      </w:r>
      <w:r w:rsidRPr="002B4278">
        <w:rPr>
          <w:b/>
          <w:bCs/>
        </w:rPr>
        <w:t>loi française n° 2022-401 du 21 mars 2022</w:t>
      </w:r>
      <w:r w:rsidRPr="002B4278">
        <w:t xml:space="preserve"> et le </w:t>
      </w:r>
      <w:r w:rsidRPr="002B4278">
        <w:rPr>
          <w:b/>
          <w:bCs/>
        </w:rPr>
        <w:t>décret n° 2022-1284 du 3 octobre 2022</w:t>
      </w:r>
      <w:r w:rsidRPr="002B4278">
        <w:t>, établissant les modalités de recueil et de traitement des signalements, ainsi que la liste des autorités externes compétentes.</w:t>
      </w:r>
    </w:p>
    <w:p w14:paraId="2617A972" w14:textId="1B9F9B61" w:rsidR="002B4278" w:rsidRPr="002B4278" w:rsidRDefault="002B4278" w:rsidP="002B4278">
      <w:pPr>
        <w:jc w:val="both"/>
      </w:pPr>
      <w:r w:rsidRPr="002B4278">
        <w:t>Pour le Royaume-</w:t>
      </w:r>
      <w:proofErr w:type="gramStart"/>
      <w:r w:rsidRPr="002B4278">
        <w:t>Uni,  le</w:t>
      </w:r>
      <w:proofErr w:type="gramEnd"/>
      <w:r w:rsidRPr="002B4278">
        <w:t xml:space="preserve"> Groupe applique le </w:t>
      </w:r>
      <w:r w:rsidRPr="002B4278">
        <w:rPr>
          <w:b/>
          <w:bCs/>
        </w:rPr>
        <w:t xml:space="preserve">Public </w:t>
      </w:r>
      <w:proofErr w:type="spellStart"/>
      <w:r w:rsidRPr="002B4278">
        <w:rPr>
          <w:b/>
          <w:bCs/>
        </w:rPr>
        <w:t>Interest</w:t>
      </w:r>
      <w:proofErr w:type="spellEnd"/>
      <w:r w:rsidRPr="002B4278">
        <w:rPr>
          <w:b/>
          <w:bCs/>
        </w:rPr>
        <w:t xml:space="preserve"> Disclosure </w:t>
      </w:r>
      <w:proofErr w:type="spellStart"/>
      <w:r w:rsidRPr="002B4278">
        <w:rPr>
          <w:b/>
          <w:bCs/>
        </w:rPr>
        <w:t>Act</w:t>
      </w:r>
      <w:proofErr w:type="spellEnd"/>
      <w:r w:rsidRPr="002B4278">
        <w:rPr>
          <w:b/>
          <w:bCs/>
        </w:rPr>
        <w:t xml:space="preserve"> 1998 (PIDA)</w:t>
      </w:r>
      <w:r w:rsidRPr="002B4278">
        <w:t>, qui définit le cadre applicable aux divulgations protégées et interdit toute forme de représailles envers les personnes soulevant des préoccupations d’intérêt public.</w:t>
      </w:r>
    </w:p>
    <w:p w14:paraId="74CC3993" w14:textId="77777777" w:rsidR="002B4278" w:rsidRPr="002B4278" w:rsidRDefault="002B4278" w:rsidP="002B4278">
      <w:pPr>
        <w:jc w:val="both"/>
      </w:pPr>
      <w:r w:rsidRPr="002B4278">
        <w:t>Dans ce cadre protecteur, le système d’alerte de Cartan Trade vise à :</w:t>
      </w:r>
    </w:p>
    <w:p w14:paraId="59C9C153" w14:textId="29F9FA53" w:rsidR="002B4278" w:rsidRPr="002B4278" w:rsidRDefault="002B4278" w:rsidP="002B4278">
      <w:pPr>
        <w:numPr>
          <w:ilvl w:val="0"/>
          <w:numId w:val="1"/>
        </w:numPr>
        <w:jc w:val="both"/>
      </w:pPr>
      <w:proofErr w:type="gramStart"/>
      <w:r w:rsidRPr="002B4278">
        <w:t>permettre</w:t>
      </w:r>
      <w:proofErr w:type="gramEnd"/>
      <w:r w:rsidRPr="002B4278">
        <w:t xml:space="preserve"> le signalement interne de violations potentielles ou avérées du droit européen, local ou </w:t>
      </w:r>
      <w:proofErr w:type="gramStart"/>
      <w:r w:rsidRPr="002B4278">
        <w:t>international;</w:t>
      </w:r>
      <w:proofErr w:type="gramEnd"/>
      <w:r w:rsidRPr="002B4278">
        <w:t xml:space="preserve"> de manquements aux politiques </w:t>
      </w:r>
      <w:proofErr w:type="gramStart"/>
      <w:r w:rsidRPr="002B4278">
        <w:t>internes;</w:t>
      </w:r>
      <w:proofErr w:type="gramEnd"/>
      <w:r w:rsidRPr="002B4278">
        <w:t xml:space="preserve"> de menaces envers l’intérêt </w:t>
      </w:r>
      <w:proofErr w:type="gramStart"/>
      <w:r w:rsidRPr="002B4278">
        <w:t>public;</w:t>
      </w:r>
      <w:proofErr w:type="gramEnd"/>
      <w:r w:rsidRPr="002B4278">
        <w:t xml:space="preserve"> ou de tout autre comportement grave susceptible de survenir au sein de </w:t>
      </w:r>
      <w:proofErr w:type="gramStart"/>
      <w:r w:rsidRPr="002B4278">
        <w:t>l’organisation;</w:t>
      </w:r>
      <w:proofErr w:type="gramEnd"/>
    </w:p>
    <w:p w14:paraId="2C0A6FFC" w14:textId="76050416" w:rsidR="002B4278" w:rsidRPr="002B4278" w:rsidRDefault="002B4278" w:rsidP="002B4278">
      <w:pPr>
        <w:numPr>
          <w:ilvl w:val="0"/>
          <w:numId w:val="1"/>
        </w:numPr>
        <w:jc w:val="both"/>
      </w:pPr>
      <w:proofErr w:type="gramStart"/>
      <w:r w:rsidRPr="002B4278">
        <w:t>assurer</w:t>
      </w:r>
      <w:proofErr w:type="gramEnd"/>
      <w:r w:rsidRPr="002B4278">
        <w:t xml:space="preserve"> la réception, la vérification et le traitement des signalements au moyen de processus impartiaux et confidentiels, en conformité avec la législation </w:t>
      </w:r>
      <w:proofErr w:type="gramStart"/>
      <w:r w:rsidRPr="002B4278">
        <w:t>applicable;</w:t>
      </w:r>
      <w:proofErr w:type="gramEnd"/>
    </w:p>
    <w:p w14:paraId="2776E06E" w14:textId="31E9A3C4" w:rsidR="002B4278" w:rsidRPr="002B4278" w:rsidRDefault="002B4278" w:rsidP="002B4278">
      <w:pPr>
        <w:numPr>
          <w:ilvl w:val="0"/>
          <w:numId w:val="1"/>
        </w:numPr>
        <w:jc w:val="both"/>
      </w:pPr>
      <w:proofErr w:type="gramStart"/>
      <w:r w:rsidRPr="002B4278">
        <w:t>offrir</w:t>
      </w:r>
      <w:proofErr w:type="gramEnd"/>
      <w:r w:rsidRPr="002B4278">
        <w:t xml:space="preserve"> aux lanceurs d’alerte la possibilité de choisir entre</w:t>
      </w:r>
      <w:proofErr w:type="gramStart"/>
      <w:r w:rsidRPr="002B4278">
        <w:t xml:space="preserve"> :le</w:t>
      </w:r>
      <w:proofErr w:type="gramEnd"/>
      <w:r w:rsidRPr="002B4278">
        <w:t xml:space="preserve"> signalement interne, le signalement externe auprès d’une autorité compétente, ou dans les conditions strictes prévues par la loi</w:t>
      </w:r>
      <w:r>
        <w:t xml:space="preserve">, </w:t>
      </w:r>
      <w:r w:rsidRPr="002B4278">
        <w:t>la divulgation publique.</w:t>
      </w:r>
    </w:p>
    <w:p w14:paraId="168C9330" w14:textId="06923F78" w:rsidR="002B4278" w:rsidRPr="002B4278" w:rsidRDefault="002B4278" w:rsidP="002B4278">
      <w:pPr>
        <w:jc w:val="both"/>
      </w:pPr>
      <w:r w:rsidRPr="002B4278">
        <w:t xml:space="preserve">Bien que les canaux internes habituels restent disponibles (management, </w:t>
      </w:r>
      <w:proofErr w:type="gramStart"/>
      <w:r w:rsidRPr="002B4278">
        <w:t>RH,  etc.</w:t>
      </w:r>
      <w:proofErr w:type="gramEnd"/>
      <w:r w:rsidRPr="002B4278">
        <w:t>), la procédure décrite dans ce document établit un mécanisme dédié, sécurisé, garantissant que les préoccupations puissent être signalées en toute sécurité, efficacement, et sans crainte de représailles.</w:t>
      </w:r>
    </w:p>
    <w:p w14:paraId="29F746E5" w14:textId="77777777" w:rsidR="002B4278" w:rsidRPr="002B4278" w:rsidRDefault="002B4278" w:rsidP="002B4278">
      <w:pPr>
        <w:jc w:val="both"/>
      </w:pPr>
      <w:r w:rsidRPr="002B4278">
        <w:lastRenderedPageBreak/>
        <w:t>Cette Procédure explique comment signaler une préoccupation, comment Cartan Trade reçoit, évalue et traite les alertes, ainsi que les protections offertes contre les représailles.</w:t>
      </w:r>
    </w:p>
    <w:p w14:paraId="0E678A59" w14:textId="77777777" w:rsidR="002B4278" w:rsidRPr="002B4278" w:rsidRDefault="006125E4" w:rsidP="002B4278">
      <w:pPr>
        <w:jc w:val="both"/>
      </w:pPr>
      <w:r>
        <w:pict w14:anchorId="10FFB582">
          <v:rect id="_x0000_i1025" style="width:0;height:1.5pt" o:hralign="center" o:hrstd="t" o:hr="t" fillcolor="#a0a0a0" stroked="f"/>
        </w:pict>
      </w:r>
    </w:p>
    <w:p w14:paraId="353332ED" w14:textId="77777777" w:rsidR="002B4278" w:rsidRPr="002B4278" w:rsidRDefault="002B4278" w:rsidP="002B4278">
      <w:pPr>
        <w:jc w:val="both"/>
        <w:rPr>
          <w:b/>
          <w:bCs/>
        </w:rPr>
      </w:pPr>
      <w:r w:rsidRPr="002B4278">
        <w:rPr>
          <w:b/>
          <w:bCs/>
        </w:rPr>
        <w:t>2. Champ d’application — Qui peut signaler une alerte ?</w:t>
      </w:r>
    </w:p>
    <w:p w14:paraId="08358997" w14:textId="24211E40" w:rsidR="002B4278" w:rsidRPr="002B4278" w:rsidRDefault="002B4278" w:rsidP="002B4278">
      <w:pPr>
        <w:jc w:val="both"/>
      </w:pPr>
      <w:r w:rsidRPr="002B4278">
        <w:t>Toute personne ayant un lien professionnel avec Cartan Trade peut effectuer un signalement de bonne foi, y compris</w:t>
      </w:r>
      <w:proofErr w:type="gramStart"/>
      <w:r w:rsidRPr="002B4278">
        <w:t xml:space="preserve"> :salariés</w:t>
      </w:r>
      <w:proofErr w:type="gramEnd"/>
      <w:r w:rsidRPr="002B4278">
        <w:t>, anciens salariés, candidats, stagiaires, intérimaires, administrateurs, prestataires/ sous</w:t>
      </w:r>
      <w:r w:rsidRPr="002B4278">
        <w:noBreakHyphen/>
        <w:t>traitants (lorsqu’ils agissent pour ou au nom de la société).</w:t>
      </w:r>
    </w:p>
    <w:p w14:paraId="08EC1105" w14:textId="77777777" w:rsidR="002B4278" w:rsidRPr="002B4278" w:rsidRDefault="002B4278" w:rsidP="002B4278">
      <w:pPr>
        <w:jc w:val="both"/>
      </w:pPr>
      <w:r w:rsidRPr="002B4278">
        <w:t>Cartan Trade encourage toute personne concernée à signaler, même en cas de doute raisonnable, aucun lanceur d’alerte ne pouvant être sanctionné pour un signalement effectué de bonne foi.</w:t>
      </w:r>
    </w:p>
    <w:p w14:paraId="635591E7" w14:textId="6521796C" w:rsidR="002B4278" w:rsidRPr="002B4278" w:rsidRDefault="002B4278" w:rsidP="002B4278">
      <w:pPr>
        <w:jc w:val="both"/>
      </w:pPr>
    </w:p>
    <w:p w14:paraId="64CB47BF" w14:textId="77777777" w:rsidR="002B4278" w:rsidRPr="002B4278" w:rsidRDefault="002B4278" w:rsidP="002B4278">
      <w:pPr>
        <w:jc w:val="both"/>
        <w:rPr>
          <w:b/>
          <w:bCs/>
        </w:rPr>
      </w:pPr>
      <w:r w:rsidRPr="002B4278">
        <w:rPr>
          <w:b/>
          <w:bCs/>
        </w:rPr>
        <w:t>3. Que peut-on signaler ?</w:t>
      </w:r>
    </w:p>
    <w:p w14:paraId="658C5BC0" w14:textId="514BBA1B" w:rsidR="002B4278" w:rsidRPr="002B4278" w:rsidRDefault="002B4278" w:rsidP="002B4278">
      <w:pPr>
        <w:jc w:val="both"/>
      </w:pPr>
      <w:r w:rsidRPr="002B4278">
        <w:t>Tout soupçon raisonnable d’un acte répréhensible avéré ou potentiel, notamment</w:t>
      </w:r>
      <w:proofErr w:type="gramStart"/>
      <w:r w:rsidRPr="002B4278">
        <w:t xml:space="preserve"> :infractions</w:t>
      </w:r>
      <w:proofErr w:type="gramEnd"/>
      <w:r w:rsidRPr="002B4278">
        <w:t xml:space="preserve"> légales ou réglementaires, violations des politiques Cartan Trade, risques d’atteinte à l’intérêt public. Exemples : criminalité financière / LCB-FT, abus de marché, manquements en intermédiation d’assurance, gouvernance produit / pratiques commerciales, protection des données, concurrence / antitrust, santé &amp; sécurité, atteintes environnementales, fraude, corruption, ou dissimulation de tels faits.</w:t>
      </w:r>
    </w:p>
    <w:p w14:paraId="54A8CE22" w14:textId="503C10D8" w:rsidR="002B4278" w:rsidRPr="002B4278" w:rsidRDefault="002B4278" w:rsidP="002B4278">
      <w:pPr>
        <w:jc w:val="both"/>
      </w:pPr>
    </w:p>
    <w:p w14:paraId="6AF8D214" w14:textId="77777777" w:rsidR="002B4278" w:rsidRPr="002B4278" w:rsidRDefault="002B4278" w:rsidP="002B4278">
      <w:pPr>
        <w:jc w:val="both"/>
        <w:rPr>
          <w:b/>
          <w:bCs/>
        </w:rPr>
      </w:pPr>
      <w:r w:rsidRPr="002B4278">
        <w:rPr>
          <w:b/>
          <w:bCs/>
        </w:rPr>
        <w:t>3. Procédure de traitement des signalements</w:t>
      </w:r>
    </w:p>
    <w:p w14:paraId="66A04066" w14:textId="77777777" w:rsidR="002B4278" w:rsidRPr="002B4278" w:rsidRDefault="002B4278" w:rsidP="002B4278">
      <w:pPr>
        <w:jc w:val="both"/>
        <w:rPr>
          <w:b/>
          <w:bCs/>
        </w:rPr>
      </w:pPr>
      <w:r w:rsidRPr="002B4278">
        <w:rPr>
          <w:b/>
          <w:bCs/>
        </w:rPr>
        <w:t>3.1 Soumission d’un signalement (Canal interne)</w:t>
      </w:r>
    </w:p>
    <w:p w14:paraId="2CD38211" w14:textId="77777777" w:rsidR="002B4278" w:rsidRPr="002B4278" w:rsidRDefault="002B4278" w:rsidP="002B4278">
      <w:pPr>
        <w:jc w:val="both"/>
      </w:pPr>
      <w:r w:rsidRPr="002B4278">
        <w:t xml:space="preserve">Les signalements peuvent être effectués </w:t>
      </w:r>
      <w:r w:rsidRPr="002B4278">
        <w:rPr>
          <w:b/>
          <w:bCs/>
        </w:rPr>
        <w:t>24h/24 et 7j/7</w:t>
      </w:r>
      <w:r w:rsidRPr="002B4278">
        <w:t xml:space="preserve"> exclusivement via la boîte e</w:t>
      </w:r>
      <w:r w:rsidRPr="002B4278">
        <w:noBreakHyphen/>
        <w:t>mail confidentielle dédiée :</w:t>
      </w:r>
    </w:p>
    <w:p w14:paraId="49318710" w14:textId="3F862FE5" w:rsidR="002B4278" w:rsidRPr="002B4278" w:rsidRDefault="002B4278" w:rsidP="002B4278">
      <w:pPr>
        <w:jc w:val="both"/>
      </w:pPr>
      <w:r w:rsidRPr="002B4278">
        <w:rPr>
          <w:b/>
          <w:bCs/>
        </w:rPr>
        <w:t>Canal exclusif de signalement :</w:t>
      </w:r>
      <w:r w:rsidRPr="002B4278">
        <w:t xml:space="preserve"> </w:t>
      </w:r>
      <w:r w:rsidRPr="002B4278">
        <w:rPr>
          <w:b/>
          <w:bCs/>
        </w:rPr>
        <w:t>whistleblowing@cartantrade.com</w:t>
      </w:r>
    </w:p>
    <w:p w14:paraId="0C175632" w14:textId="77777777" w:rsidR="002B4278" w:rsidRPr="002B4278" w:rsidRDefault="002B4278" w:rsidP="002B4278">
      <w:pPr>
        <w:jc w:val="both"/>
      </w:pPr>
      <w:r w:rsidRPr="002B4278">
        <w:t>Ce canal est soumis à des contrôles d’accès stricts et n’est accessible qu’au Comité d’Alerte.</w:t>
      </w:r>
    </w:p>
    <w:p w14:paraId="7652666C" w14:textId="663318CF" w:rsidR="002B4278" w:rsidRPr="00F92511" w:rsidRDefault="002B4278" w:rsidP="002B4278">
      <w:pPr>
        <w:jc w:val="both"/>
      </w:pPr>
      <w:r w:rsidRPr="00F92511">
        <w:t xml:space="preserve">Les signalements doivent être transmis par écrit, datés, signés et suffisamment </w:t>
      </w:r>
      <w:proofErr w:type="spellStart"/>
      <w:proofErr w:type="gramStart"/>
      <w:r w:rsidRPr="00F92511">
        <w:t>étayés.En</w:t>
      </w:r>
      <w:proofErr w:type="spellEnd"/>
      <w:proofErr w:type="gramEnd"/>
      <w:r w:rsidRPr="00F92511">
        <w:t xml:space="preserve"> principe, l’auteur doit s’identifier, mais son identité sera protégée avec le plus haut niveau de confidentialité.</w:t>
      </w:r>
    </w:p>
    <w:p w14:paraId="52302828" w14:textId="77777777" w:rsidR="002B4278" w:rsidRPr="00F92511" w:rsidRDefault="002B4278" w:rsidP="002B4278">
      <w:pPr>
        <w:jc w:val="both"/>
      </w:pPr>
      <w:r w:rsidRPr="00F92511">
        <w:t>Les signalements peuvent être effectués en : anglais, espagnol, français, italien ou néerlandais.</w:t>
      </w:r>
    </w:p>
    <w:p w14:paraId="1C81682A" w14:textId="77777777" w:rsidR="002B4278" w:rsidRPr="002B4278" w:rsidRDefault="002B4278" w:rsidP="002B4278">
      <w:pPr>
        <w:jc w:val="both"/>
      </w:pPr>
      <w:r w:rsidRPr="002B4278">
        <w:lastRenderedPageBreak/>
        <w:t>Les signalements anonymes sont traités uniquement lorsque la loi locale le permet.</w:t>
      </w:r>
    </w:p>
    <w:p w14:paraId="2B85E0BC" w14:textId="77777777" w:rsidR="002B4278" w:rsidRPr="002B4278" w:rsidRDefault="002B4278" w:rsidP="002B4278">
      <w:pPr>
        <w:jc w:val="both"/>
      </w:pPr>
      <w:r w:rsidRPr="002B4278">
        <w:t>Dès réception d’un signalement, le Responsable Juridique &amp; Conformité adresse au lanceur d’alerte le formulaire type joint à la présente Procédure afin de recueillir les informations nécessaires à l’analyse.</w:t>
      </w:r>
    </w:p>
    <w:p w14:paraId="4A0B5F18" w14:textId="77777777" w:rsidR="002B4278" w:rsidRPr="002B4278" w:rsidRDefault="002B4278" w:rsidP="002B4278">
      <w:pPr>
        <w:jc w:val="both"/>
      </w:pPr>
      <w:r w:rsidRPr="002B4278">
        <w:rPr>
          <w:b/>
          <w:bCs/>
        </w:rPr>
        <w:t>Éléments recommandés dans un signalement :</w:t>
      </w:r>
    </w:p>
    <w:p w14:paraId="314BEA8B" w14:textId="77777777" w:rsidR="002B4278" w:rsidRPr="002B4278" w:rsidRDefault="002B4278" w:rsidP="002B4278">
      <w:pPr>
        <w:numPr>
          <w:ilvl w:val="0"/>
          <w:numId w:val="2"/>
        </w:numPr>
        <w:jc w:val="both"/>
      </w:pPr>
      <w:proofErr w:type="gramStart"/>
      <w:r w:rsidRPr="002B4278">
        <w:t>description</w:t>
      </w:r>
      <w:proofErr w:type="gramEnd"/>
      <w:r w:rsidRPr="002B4278">
        <w:t xml:space="preserve"> des faits (qui, quoi, quand, où)</w:t>
      </w:r>
    </w:p>
    <w:p w14:paraId="4871B3A2" w14:textId="77777777" w:rsidR="002B4278" w:rsidRPr="002B4278" w:rsidRDefault="002B4278" w:rsidP="002B4278">
      <w:pPr>
        <w:numPr>
          <w:ilvl w:val="0"/>
          <w:numId w:val="2"/>
        </w:numPr>
        <w:jc w:val="both"/>
      </w:pPr>
      <w:proofErr w:type="gramStart"/>
      <w:r w:rsidRPr="002B4278">
        <w:t>toute</w:t>
      </w:r>
      <w:proofErr w:type="gramEnd"/>
      <w:r w:rsidRPr="002B4278">
        <w:t xml:space="preserve"> preuve disponible</w:t>
      </w:r>
    </w:p>
    <w:p w14:paraId="4D051F39" w14:textId="77777777" w:rsidR="002B4278" w:rsidRPr="002B4278" w:rsidRDefault="002B4278" w:rsidP="002B4278">
      <w:pPr>
        <w:numPr>
          <w:ilvl w:val="0"/>
          <w:numId w:val="2"/>
        </w:numPr>
        <w:jc w:val="both"/>
      </w:pPr>
      <w:proofErr w:type="gramStart"/>
      <w:r w:rsidRPr="002B4278">
        <w:t>actions</w:t>
      </w:r>
      <w:proofErr w:type="gramEnd"/>
      <w:r w:rsidRPr="002B4278">
        <w:t xml:space="preserve"> précédentes ou canaux déjà sollicités</w:t>
      </w:r>
    </w:p>
    <w:p w14:paraId="588BB196" w14:textId="77777777" w:rsidR="002B4278" w:rsidRPr="002B4278" w:rsidRDefault="002B4278" w:rsidP="002B4278">
      <w:pPr>
        <w:numPr>
          <w:ilvl w:val="0"/>
          <w:numId w:val="2"/>
        </w:numPr>
        <w:jc w:val="both"/>
      </w:pPr>
      <w:proofErr w:type="gramStart"/>
      <w:r w:rsidRPr="002B4278">
        <w:t>risques</w:t>
      </w:r>
      <w:proofErr w:type="gramEnd"/>
      <w:r w:rsidRPr="002B4278">
        <w:t xml:space="preserve"> ou craintes de représailles</w:t>
      </w:r>
    </w:p>
    <w:p w14:paraId="0228A635" w14:textId="3F3BBAB4" w:rsidR="002B4278" w:rsidRPr="002B4278" w:rsidRDefault="002B4278" w:rsidP="002B4278">
      <w:pPr>
        <w:jc w:val="both"/>
      </w:pPr>
      <w:r w:rsidRPr="002B4278">
        <w:rPr>
          <w:b/>
          <w:bCs/>
        </w:rPr>
        <w:t>Accusé de réception &amp; suivi</w:t>
      </w:r>
      <w:proofErr w:type="gramStart"/>
      <w:r w:rsidRPr="002B4278">
        <w:rPr>
          <w:b/>
          <w:bCs/>
        </w:rPr>
        <w:t xml:space="preserve"> :</w:t>
      </w:r>
      <w:r w:rsidRPr="002B4278">
        <w:t>Un</w:t>
      </w:r>
      <w:proofErr w:type="gramEnd"/>
      <w:r w:rsidRPr="002B4278">
        <w:t xml:space="preserve"> accusé de réception est envoyé sous 7 jours, et un retour sur les mesures prises ou envisagées est fourni sous 3 mois, dans le respect des obligations de confidentialité.</w:t>
      </w:r>
    </w:p>
    <w:p w14:paraId="0E22DC83" w14:textId="77777777" w:rsidR="002B4278" w:rsidRPr="002B4278" w:rsidRDefault="002B4278" w:rsidP="002B4278">
      <w:pPr>
        <w:jc w:val="both"/>
        <w:rPr>
          <w:b/>
          <w:bCs/>
        </w:rPr>
      </w:pPr>
      <w:r w:rsidRPr="002B4278">
        <w:rPr>
          <w:b/>
          <w:bCs/>
        </w:rPr>
        <w:t>3.2 Traitement du signalement</w:t>
      </w:r>
    </w:p>
    <w:p w14:paraId="6A723E84" w14:textId="107378D9" w:rsidR="002B4278" w:rsidRPr="002B4278" w:rsidRDefault="002B4278" w:rsidP="002B4278">
      <w:pPr>
        <w:jc w:val="both"/>
        <w:rPr>
          <w:b/>
          <w:bCs/>
        </w:rPr>
      </w:pPr>
      <w:r w:rsidRPr="002B4278">
        <w:rPr>
          <w:b/>
          <w:bCs/>
        </w:rPr>
        <w:t xml:space="preserve">3.2.1 Responsable du traitement </w:t>
      </w:r>
    </w:p>
    <w:p w14:paraId="3BD53F3F" w14:textId="77777777" w:rsidR="002B4278" w:rsidRPr="002B4278" w:rsidRDefault="002B4278" w:rsidP="002B4278">
      <w:pPr>
        <w:jc w:val="both"/>
      </w:pPr>
      <w:r w:rsidRPr="002B4278">
        <w:t xml:space="preserve">Le signalement est traité par le </w:t>
      </w:r>
      <w:r w:rsidRPr="002B4278">
        <w:rPr>
          <w:b/>
          <w:bCs/>
        </w:rPr>
        <w:t>Comité d’Alerte</w:t>
      </w:r>
      <w:r w:rsidRPr="002B4278">
        <w:t>, composé de :</w:t>
      </w:r>
    </w:p>
    <w:p w14:paraId="7EE81FEF" w14:textId="42B4B096" w:rsidR="002B4278" w:rsidRPr="002B4278" w:rsidRDefault="002B4278" w:rsidP="002B4278">
      <w:pPr>
        <w:numPr>
          <w:ilvl w:val="0"/>
          <w:numId w:val="3"/>
        </w:numPr>
        <w:jc w:val="both"/>
      </w:pPr>
      <w:proofErr w:type="gramStart"/>
      <w:r w:rsidRPr="002B4278">
        <w:t>le</w:t>
      </w:r>
      <w:proofErr w:type="gramEnd"/>
      <w:r w:rsidRPr="002B4278">
        <w:t xml:space="preserve"> Président (</w:t>
      </w:r>
      <w:r w:rsidR="0019509E">
        <w:t>« </w:t>
      </w:r>
      <w:r w:rsidRPr="002B4278">
        <w:t>CEO</w:t>
      </w:r>
      <w:r w:rsidR="0019509E">
        <w:t> »</w:t>
      </w:r>
      <w:r w:rsidRPr="002B4278">
        <w:t>),</w:t>
      </w:r>
    </w:p>
    <w:p w14:paraId="2A1E220A" w14:textId="596D42CA" w:rsidR="002B4278" w:rsidRPr="002B4278" w:rsidRDefault="002B4278" w:rsidP="002B4278">
      <w:pPr>
        <w:numPr>
          <w:ilvl w:val="0"/>
          <w:numId w:val="3"/>
        </w:numPr>
        <w:jc w:val="both"/>
        <w:rPr>
          <w:lang w:val="en-US"/>
        </w:rPr>
      </w:pPr>
      <w:r w:rsidRPr="002B4278">
        <w:rPr>
          <w:lang w:val="en-US"/>
        </w:rPr>
        <w:t>le Chief Corporate Officer (</w:t>
      </w:r>
      <w:r w:rsidR="0019509E">
        <w:rPr>
          <w:lang w:val="en-US"/>
        </w:rPr>
        <w:t>“</w:t>
      </w:r>
      <w:r w:rsidRPr="002B4278">
        <w:rPr>
          <w:lang w:val="en-US"/>
        </w:rPr>
        <w:t>CFO &amp; RH</w:t>
      </w:r>
      <w:r w:rsidR="000F4B29">
        <w:rPr>
          <w:lang w:val="en-US"/>
        </w:rPr>
        <w:t>D</w:t>
      </w:r>
      <w:r w:rsidR="0019509E">
        <w:rPr>
          <w:lang w:val="en-US"/>
        </w:rPr>
        <w:t>”</w:t>
      </w:r>
      <w:r w:rsidRPr="002B4278">
        <w:rPr>
          <w:lang w:val="en-US"/>
        </w:rPr>
        <w:t>),</w:t>
      </w:r>
    </w:p>
    <w:p w14:paraId="610CAA2E" w14:textId="0347E830" w:rsidR="002B4278" w:rsidRPr="002B4278" w:rsidRDefault="002B4278" w:rsidP="002B4278">
      <w:pPr>
        <w:numPr>
          <w:ilvl w:val="0"/>
          <w:numId w:val="3"/>
        </w:numPr>
        <w:jc w:val="both"/>
      </w:pPr>
      <w:proofErr w:type="gramStart"/>
      <w:r w:rsidRPr="002B4278">
        <w:t>le</w:t>
      </w:r>
      <w:proofErr w:type="gramEnd"/>
      <w:r w:rsidRPr="002B4278">
        <w:t xml:space="preserve"> Responsable Juridique &amp; Conformité</w:t>
      </w:r>
      <w:r w:rsidR="000F4B29">
        <w:t xml:space="preserve"> (</w:t>
      </w:r>
      <w:r w:rsidR="0019509E">
        <w:t>« </w:t>
      </w:r>
      <w:r w:rsidR="000F4B29">
        <w:t>L&amp;CM</w:t>
      </w:r>
      <w:r w:rsidR="0019509E">
        <w:t> »)</w:t>
      </w:r>
      <w:r w:rsidRPr="002B4278">
        <w:t>,</w:t>
      </w:r>
    </w:p>
    <w:p w14:paraId="3DE98AAA" w14:textId="77777777" w:rsidR="002B4278" w:rsidRPr="002B4278" w:rsidRDefault="002B4278" w:rsidP="002B4278">
      <w:pPr>
        <w:numPr>
          <w:ilvl w:val="0"/>
          <w:numId w:val="3"/>
        </w:numPr>
        <w:jc w:val="both"/>
      </w:pPr>
      <w:proofErr w:type="gramStart"/>
      <w:r w:rsidRPr="002B4278">
        <w:t>et</w:t>
      </w:r>
      <w:proofErr w:type="gramEnd"/>
      <w:r w:rsidRPr="002B4278">
        <w:t>, si pertinent, le manager de l’équipe concernée.</w:t>
      </w:r>
    </w:p>
    <w:p w14:paraId="43798170" w14:textId="77777777" w:rsidR="002B4278" w:rsidRPr="002B4278" w:rsidRDefault="002B4278" w:rsidP="002B4278">
      <w:pPr>
        <w:jc w:val="both"/>
        <w:rPr>
          <w:b/>
          <w:bCs/>
        </w:rPr>
      </w:pPr>
      <w:r w:rsidRPr="002B4278">
        <w:rPr>
          <w:b/>
          <w:bCs/>
        </w:rPr>
        <w:t>3.2.2 Modalités de traitement</w:t>
      </w:r>
    </w:p>
    <w:p w14:paraId="27676BD2" w14:textId="77777777" w:rsidR="002B4278" w:rsidRPr="002B4278" w:rsidRDefault="002B4278" w:rsidP="002B4278">
      <w:pPr>
        <w:numPr>
          <w:ilvl w:val="0"/>
          <w:numId w:val="4"/>
        </w:numPr>
        <w:jc w:val="both"/>
      </w:pPr>
      <w:r w:rsidRPr="002B4278">
        <w:rPr>
          <w:b/>
          <w:bCs/>
        </w:rPr>
        <w:t>Canal de réception :</w:t>
      </w:r>
      <w:r w:rsidRPr="002B4278">
        <w:t xml:space="preserve"> tel que défini en 3.1</w:t>
      </w:r>
    </w:p>
    <w:p w14:paraId="45A031BA" w14:textId="25923C91" w:rsidR="002B4278" w:rsidRPr="002B4278" w:rsidRDefault="002B4278" w:rsidP="002B4278">
      <w:pPr>
        <w:numPr>
          <w:ilvl w:val="0"/>
          <w:numId w:val="4"/>
        </w:numPr>
        <w:jc w:val="both"/>
      </w:pPr>
      <w:r w:rsidRPr="002B4278">
        <w:rPr>
          <w:b/>
          <w:bCs/>
        </w:rPr>
        <w:t>Accusé de réception</w:t>
      </w:r>
      <w:proofErr w:type="gramStart"/>
      <w:r w:rsidRPr="002B4278">
        <w:rPr>
          <w:b/>
          <w:bCs/>
        </w:rPr>
        <w:t xml:space="preserve"> :</w:t>
      </w:r>
      <w:r w:rsidRPr="002B4278">
        <w:t>sous</w:t>
      </w:r>
      <w:proofErr w:type="gramEnd"/>
      <w:r w:rsidRPr="002B4278">
        <w:t xml:space="preserve"> 7 jours ouvrés via la boîte sécurisée.</w:t>
      </w:r>
    </w:p>
    <w:p w14:paraId="2DA08FA1" w14:textId="77777777" w:rsidR="002B4278" w:rsidRPr="002B4278" w:rsidRDefault="002B4278" w:rsidP="002B4278">
      <w:pPr>
        <w:jc w:val="both"/>
      </w:pPr>
      <w:r w:rsidRPr="002B4278">
        <w:t>L'accusé de réception précise :</w:t>
      </w:r>
    </w:p>
    <w:p w14:paraId="03B2CBEA" w14:textId="77777777" w:rsidR="002B4278" w:rsidRPr="002B4278" w:rsidRDefault="002B4278" w:rsidP="002B4278">
      <w:pPr>
        <w:numPr>
          <w:ilvl w:val="0"/>
          <w:numId w:val="5"/>
        </w:numPr>
        <w:jc w:val="both"/>
      </w:pPr>
      <w:proofErr w:type="gramStart"/>
      <w:r w:rsidRPr="002B4278">
        <w:t>la</w:t>
      </w:r>
      <w:proofErr w:type="gramEnd"/>
      <w:r w:rsidRPr="002B4278">
        <w:t xml:space="preserve"> possibilité d’être contacté pour des informations complémentaires ;</w:t>
      </w:r>
    </w:p>
    <w:p w14:paraId="7D457ADD" w14:textId="77777777" w:rsidR="002B4278" w:rsidRPr="002B4278" w:rsidRDefault="002B4278" w:rsidP="002B4278">
      <w:pPr>
        <w:numPr>
          <w:ilvl w:val="0"/>
          <w:numId w:val="5"/>
        </w:numPr>
        <w:jc w:val="both"/>
      </w:pPr>
      <w:proofErr w:type="gramStart"/>
      <w:r w:rsidRPr="002B4278">
        <w:t>la</w:t>
      </w:r>
      <w:proofErr w:type="gramEnd"/>
      <w:r w:rsidRPr="002B4278">
        <w:t xml:space="preserve"> communication ultérieure sur l’admissibilité du signalement et les actions envisagées ;</w:t>
      </w:r>
    </w:p>
    <w:p w14:paraId="6D876C97" w14:textId="77777777" w:rsidR="002B4278" w:rsidRPr="002B4278" w:rsidRDefault="002B4278" w:rsidP="002B4278">
      <w:pPr>
        <w:numPr>
          <w:ilvl w:val="0"/>
          <w:numId w:val="5"/>
        </w:numPr>
        <w:jc w:val="both"/>
      </w:pPr>
      <w:proofErr w:type="gramStart"/>
      <w:r w:rsidRPr="002B4278">
        <w:t>l’information</w:t>
      </w:r>
      <w:proofErr w:type="gramEnd"/>
      <w:r w:rsidRPr="002B4278">
        <w:t xml:space="preserve"> une fois la procédure clôturée.</w:t>
      </w:r>
    </w:p>
    <w:p w14:paraId="7F5DC3E1" w14:textId="77777777" w:rsidR="002B4278" w:rsidRPr="002B4278" w:rsidRDefault="002B4278" w:rsidP="002B4278">
      <w:pPr>
        <w:jc w:val="both"/>
        <w:rPr>
          <w:b/>
          <w:bCs/>
        </w:rPr>
      </w:pPr>
      <w:r w:rsidRPr="002B4278">
        <w:rPr>
          <w:b/>
          <w:bCs/>
        </w:rPr>
        <w:t>Enquête</w:t>
      </w:r>
    </w:p>
    <w:p w14:paraId="4B3085A6" w14:textId="216DD305" w:rsidR="002B4278" w:rsidRPr="002B4278" w:rsidRDefault="002B4278" w:rsidP="002B4278">
      <w:pPr>
        <w:jc w:val="both"/>
      </w:pPr>
      <w:r w:rsidRPr="002B4278">
        <w:t xml:space="preserve">Dès réception, le Comité d’Alerte identifie l’intervenant approprié pour mener l’enquête tout en garantissant la confidentialité requise par la loi. Chaque enquête est unique et </w:t>
      </w:r>
      <w:r w:rsidRPr="002B4278">
        <w:lastRenderedPageBreak/>
        <w:t>dépend de nombreux facteurs, mais tous les signalements sont traités avec sérieux et équité.</w:t>
      </w:r>
    </w:p>
    <w:p w14:paraId="1F841556" w14:textId="6B0A7104" w:rsidR="002B4278" w:rsidRPr="002B4278" w:rsidRDefault="002B4278" w:rsidP="002B4278">
      <w:pPr>
        <w:jc w:val="both"/>
      </w:pPr>
      <w:r w:rsidRPr="002B4278">
        <w:t>Les dossiers recueillis sont conservés de manière confidentielle, avec accès limité, sauf obligation légale. Si nécessaire, des synthèses anonymisées peuvent être transmises aux organes de direction.</w:t>
      </w:r>
    </w:p>
    <w:p w14:paraId="29334A87" w14:textId="77777777" w:rsidR="002B4278" w:rsidRPr="002B4278" w:rsidRDefault="002B4278" w:rsidP="002B4278">
      <w:pPr>
        <w:jc w:val="both"/>
        <w:rPr>
          <w:b/>
          <w:bCs/>
        </w:rPr>
      </w:pPr>
      <w:r w:rsidRPr="002B4278">
        <w:rPr>
          <w:b/>
          <w:bCs/>
        </w:rPr>
        <w:t>Retour au lanceur d’alerte</w:t>
      </w:r>
    </w:p>
    <w:p w14:paraId="2FBEDF0E" w14:textId="77777777" w:rsidR="002B4278" w:rsidRPr="002B4278" w:rsidRDefault="002B4278" w:rsidP="002B4278">
      <w:pPr>
        <w:jc w:val="both"/>
      </w:pPr>
      <w:r w:rsidRPr="002B4278">
        <w:t>Un retour d’information est fourni sous 3 mois, dans les limites légales.</w:t>
      </w:r>
    </w:p>
    <w:p w14:paraId="487FF6E6" w14:textId="77777777" w:rsidR="002B4278" w:rsidRPr="002B4278" w:rsidRDefault="002B4278" w:rsidP="002B4278">
      <w:pPr>
        <w:jc w:val="both"/>
        <w:rPr>
          <w:b/>
          <w:bCs/>
        </w:rPr>
      </w:pPr>
      <w:r w:rsidRPr="002B4278">
        <w:rPr>
          <w:b/>
          <w:bCs/>
        </w:rPr>
        <w:t>Archivage &amp; conservation des données</w:t>
      </w:r>
    </w:p>
    <w:p w14:paraId="702FB516" w14:textId="4221669A" w:rsidR="002B4278" w:rsidRPr="002B4278" w:rsidRDefault="002B4278" w:rsidP="002B4278">
      <w:pPr>
        <w:jc w:val="both"/>
      </w:pPr>
      <w:r w:rsidRPr="002B4278">
        <w:t>Les données sont conservées pour la durée strictement nécessaire aux obligations légales, d’enquête et d’audit, conformément au RGPD et aux autorités de supervision.</w:t>
      </w:r>
    </w:p>
    <w:p w14:paraId="7142FD88" w14:textId="77777777" w:rsidR="002B4278" w:rsidRPr="002B4278" w:rsidRDefault="002B4278" w:rsidP="002B4278">
      <w:pPr>
        <w:jc w:val="both"/>
        <w:rPr>
          <w:b/>
          <w:bCs/>
        </w:rPr>
      </w:pPr>
      <w:r w:rsidRPr="002B4278">
        <w:rPr>
          <w:b/>
          <w:bCs/>
        </w:rPr>
        <w:t>Confidentialité &amp; protection des données</w:t>
      </w:r>
    </w:p>
    <w:p w14:paraId="32054404" w14:textId="77777777" w:rsidR="002B4278" w:rsidRPr="002B4278" w:rsidRDefault="002B4278" w:rsidP="002B4278">
      <w:pPr>
        <w:jc w:val="both"/>
      </w:pPr>
      <w:r w:rsidRPr="002B4278">
        <w:t>Les identités du lanceur d’alerte, des personnes visées et des tiers sont strictement confidentielles et ne sont divulguées que lorsque la loi l’exige ou lorsque cela est strictement nécessaire à la poursuite de l’enquête, sous garanties appropriées.</w:t>
      </w:r>
    </w:p>
    <w:p w14:paraId="0F0F1FCD" w14:textId="3DB31EED" w:rsidR="002B4278" w:rsidRPr="002B4278" w:rsidRDefault="002B4278" w:rsidP="002B4278">
      <w:pPr>
        <w:jc w:val="both"/>
      </w:pPr>
    </w:p>
    <w:p w14:paraId="5243C6DA" w14:textId="77777777" w:rsidR="002B4278" w:rsidRPr="002B4278" w:rsidRDefault="002B4278" w:rsidP="002B4278">
      <w:pPr>
        <w:jc w:val="both"/>
        <w:rPr>
          <w:b/>
          <w:bCs/>
        </w:rPr>
      </w:pPr>
      <w:r w:rsidRPr="002B4278">
        <w:rPr>
          <w:b/>
          <w:bCs/>
        </w:rPr>
        <w:t>4. Signalement externe (par pays)</w:t>
      </w:r>
    </w:p>
    <w:p w14:paraId="0D3068B3" w14:textId="77777777" w:rsidR="002B4278" w:rsidRPr="002B4278" w:rsidRDefault="002B4278" w:rsidP="002B4278">
      <w:pPr>
        <w:jc w:val="both"/>
      </w:pPr>
      <w:r w:rsidRPr="002B4278">
        <w:t>Le lanceur d’alerte peut, s’il le souhaite ou si le signalement interne n’est pas approprié, signaler directement aux autorités compétentes suivantes (sans perte de protection si les conditions légales sont réunies).</w:t>
      </w:r>
    </w:p>
    <w:p w14:paraId="152D43CB" w14:textId="1BB64669" w:rsidR="002B4278" w:rsidRPr="002B4278" w:rsidRDefault="002B4278" w:rsidP="002B4278">
      <w:pPr>
        <w:jc w:val="both"/>
      </w:pPr>
    </w:p>
    <w:p w14:paraId="048E6F08" w14:textId="77777777" w:rsidR="002B4278" w:rsidRPr="002B4278" w:rsidRDefault="002B4278" w:rsidP="002B4278">
      <w:pPr>
        <w:jc w:val="both"/>
        <w:rPr>
          <w:b/>
          <w:bCs/>
        </w:rPr>
      </w:pPr>
      <w:r w:rsidRPr="002B4278">
        <w:rPr>
          <w:b/>
          <w:bCs/>
        </w:rPr>
        <w:t>France</w:t>
      </w:r>
    </w:p>
    <w:p w14:paraId="674646CB" w14:textId="77777777" w:rsidR="002B4278" w:rsidRPr="002B4278" w:rsidRDefault="002B4278" w:rsidP="002B4278">
      <w:pPr>
        <w:numPr>
          <w:ilvl w:val="0"/>
          <w:numId w:val="6"/>
        </w:numPr>
        <w:jc w:val="both"/>
      </w:pPr>
      <w:r w:rsidRPr="002B4278">
        <w:t>ACPR (prudentiel &amp; conduite – banques/assurance/intermédiaires)</w:t>
      </w:r>
    </w:p>
    <w:p w14:paraId="0E16BF21" w14:textId="77777777" w:rsidR="002B4278" w:rsidRPr="002B4278" w:rsidRDefault="002B4278" w:rsidP="002B4278">
      <w:pPr>
        <w:numPr>
          <w:ilvl w:val="0"/>
          <w:numId w:val="6"/>
        </w:numPr>
        <w:jc w:val="both"/>
      </w:pPr>
      <w:r w:rsidRPr="002B4278">
        <w:t>AMF (marchés financiers), DGCCRF (consommation / concurrence)</w:t>
      </w:r>
    </w:p>
    <w:p w14:paraId="19AEFF40" w14:textId="77777777" w:rsidR="002B4278" w:rsidRPr="002B4278" w:rsidRDefault="002B4278" w:rsidP="002B4278">
      <w:pPr>
        <w:numPr>
          <w:ilvl w:val="0"/>
          <w:numId w:val="6"/>
        </w:numPr>
        <w:jc w:val="both"/>
      </w:pPr>
      <w:r w:rsidRPr="002B4278">
        <w:t>Autorité de la concurrence</w:t>
      </w:r>
    </w:p>
    <w:p w14:paraId="6982FECF" w14:textId="77777777" w:rsidR="002B4278" w:rsidRPr="002B4278" w:rsidRDefault="002B4278" w:rsidP="002B4278">
      <w:pPr>
        <w:numPr>
          <w:ilvl w:val="0"/>
          <w:numId w:val="6"/>
        </w:numPr>
        <w:jc w:val="both"/>
      </w:pPr>
      <w:r w:rsidRPr="002B4278">
        <w:t>Défenseur des droits (orientation des lanceurs d’alerte)</w:t>
      </w:r>
    </w:p>
    <w:p w14:paraId="61762CC1" w14:textId="77777777" w:rsidR="002B4278" w:rsidRPr="002B4278" w:rsidRDefault="002B4278" w:rsidP="002B4278">
      <w:pPr>
        <w:jc w:val="both"/>
        <w:rPr>
          <w:b/>
          <w:bCs/>
        </w:rPr>
      </w:pPr>
      <w:r w:rsidRPr="002B4278">
        <w:rPr>
          <w:b/>
          <w:bCs/>
        </w:rPr>
        <w:t>Italie</w:t>
      </w:r>
    </w:p>
    <w:p w14:paraId="0D9FD4FD" w14:textId="77777777" w:rsidR="002B4278" w:rsidRPr="002B4278" w:rsidRDefault="002B4278" w:rsidP="002B4278">
      <w:pPr>
        <w:numPr>
          <w:ilvl w:val="0"/>
          <w:numId w:val="7"/>
        </w:numPr>
        <w:jc w:val="both"/>
      </w:pPr>
      <w:r w:rsidRPr="002B4278">
        <w:t>ANAC – autorité nationale anticorruption</w:t>
      </w:r>
    </w:p>
    <w:p w14:paraId="47BA9E77" w14:textId="77777777" w:rsidR="002B4278" w:rsidRPr="002B4278" w:rsidRDefault="002B4278" w:rsidP="002B4278">
      <w:pPr>
        <w:numPr>
          <w:ilvl w:val="0"/>
          <w:numId w:val="7"/>
        </w:numPr>
        <w:jc w:val="both"/>
      </w:pPr>
      <w:r w:rsidRPr="002B4278">
        <w:t>IVASS, CONSOB, Banque d’Italie / PRA selon le périmètre</w:t>
      </w:r>
    </w:p>
    <w:p w14:paraId="5D5E09AE" w14:textId="77777777" w:rsidR="002B4278" w:rsidRPr="002B4278" w:rsidRDefault="002B4278" w:rsidP="002B4278">
      <w:pPr>
        <w:jc w:val="both"/>
        <w:rPr>
          <w:b/>
          <w:bCs/>
        </w:rPr>
      </w:pPr>
      <w:r w:rsidRPr="002B4278">
        <w:rPr>
          <w:b/>
          <w:bCs/>
        </w:rPr>
        <w:t>Pays-Bas</w:t>
      </w:r>
    </w:p>
    <w:p w14:paraId="7BA638DD" w14:textId="77777777" w:rsidR="002B4278" w:rsidRPr="002B4278" w:rsidRDefault="002B4278" w:rsidP="002B4278">
      <w:pPr>
        <w:numPr>
          <w:ilvl w:val="0"/>
          <w:numId w:val="8"/>
        </w:numPr>
        <w:jc w:val="both"/>
      </w:pPr>
      <w:r w:rsidRPr="002B4278">
        <w:t xml:space="preserve">Huis </w:t>
      </w:r>
      <w:proofErr w:type="spellStart"/>
      <w:r w:rsidRPr="002B4278">
        <w:t>voor</w:t>
      </w:r>
      <w:proofErr w:type="spellEnd"/>
      <w:r w:rsidRPr="002B4278">
        <w:t xml:space="preserve"> </w:t>
      </w:r>
      <w:proofErr w:type="spellStart"/>
      <w:r w:rsidRPr="002B4278">
        <w:t>Klokkenluiders</w:t>
      </w:r>
      <w:proofErr w:type="spellEnd"/>
    </w:p>
    <w:p w14:paraId="32E082A1" w14:textId="77777777" w:rsidR="002B4278" w:rsidRPr="002B4278" w:rsidRDefault="002B4278" w:rsidP="002B4278">
      <w:pPr>
        <w:numPr>
          <w:ilvl w:val="0"/>
          <w:numId w:val="8"/>
        </w:numPr>
        <w:jc w:val="both"/>
      </w:pPr>
      <w:r w:rsidRPr="002B4278">
        <w:t>AFM (marchés financiers), DNB (prudentiel)</w:t>
      </w:r>
    </w:p>
    <w:p w14:paraId="6A001634" w14:textId="77777777" w:rsidR="002B4278" w:rsidRPr="002B4278" w:rsidRDefault="002B4278" w:rsidP="002B4278">
      <w:pPr>
        <w:jc w:val="both"/>
        <w:rPr>
          <w:b/>
          <w:bCs/>
        </w:rPr>
      </w:pPr>
      <w:r w:rsidRPr="002B4278">
        <w:rPr>
          <w:b/>
          <w:bCs/>
        </w:rPr>
        <w:lastRenderedPageBreak/>
        <w:t>Espagne</w:t>
      </w:r>
    </w:p>
    <w:p w14:paraId="2060C02E" w14:textId="77777777" w:rsidR="002B4278" w:rsidRPr="002B4278" w:rsidRDefault="002B4278" w:rsidP="002B4278">
      <w:pPr>
        <w:numPr>
          <w:ilvl w:val="0"/>
          <w:numId w:val="9"/>
        </w:numPr>
        <w:jc w:val="both"/>
        <w:rPr>
          <w:lang w:val="it-IT"/>
        </w:rPr>
      </w:pPr>
      <w:proofErr w:type="spellStart"/>
      <w:r w:rsidRPr="002B4278">
        <w:rPr>
          <w:lang w:val="it-IT"/>
        </w:rPr>
        <w:t>Autoridad</w:t>
      </w:r>
      <w:proofErr w:type="spellEnd"/>
      <w:r w:rsidRPr="002B4278">
        <w:rPr>
          <w:lang w:val="it-IT"/>
        </w:rPr>
        <w:t xml:space="preserve"> Independiente de </w:t>
      </w:r>
      <w:proofErr w:type="spellStart"/>
      <w:r w:rsidRPr="002B4278">
        <w:rPr>
          <w:lang w:val="it-IT"/>
        </w:rPr>
        <w:t>Protección</w:t>
      </w:r>
      <w:proofErr w:type="spellEnd"/>
      <w:r w:rsidRPr="002B4278">
        <w:rPr>
          <w:lang w:val="it-IT"/>
        </w:rPr>
        <w:t xml:space="preserve"> </w:t>
      </w:r>
      <w:proofErr w:type="gramStart"/>
      <w:r w:rsidRPr="002B4278">
        <w:rPr>
          <w:lang w:val="it-IT"/>
        </w:rPr>
        <w:t>del Informante</w:t>
      </w:r>
      <w:proofErr w:type="gramEnd"/>
      <w:r w:rsidRPr="002B4278">
        <w:rPr>
          <w:lang w:val="it-IT"/>
        </w:rPr>
        <w:t xml:space="preserve"> (A.A.I.)</w:t>
      </w:r>
    </w:p>
    <w:p w14:paraId="3AB95EC8" w14:textId="77777777" w:rsidR="002B4278" w:rsidRPr="002B4278" w:rsidRDefault="002B4278" w:rsidP="002B4278">
      <w:pPr>
        <w:numPr>
          <w:ilvl w:val="0"/>
          <w:numId w:val="9"/>
        </w:numPr>
        <w:jc w:val="both"/>
      </w:pPr>
      <w:r w:rsidRPr="002B4278">
        <w:t>CNMV</w:t>
      </w:r>
    </w:p>
    <w:p w14:paraId="7475EFBA" w14:textId="77777777" w:rsidR="002B4278" w:rsidRPr="002B4278" w:rsidRDefault="002B4278" w:rsidP="002B4278">
      <w:pPr>
        <w:numPr>
          <w:ilvl w:val="0"/>
          <w:numId w:val="9"/>
        </w:numPr>
        <w:jc w:val="both"/>
      </w:pPr>
      <w:r w:rsidRPr="002B4278">
        <w:t>Banco de España</w:t>
      </w:r>
    </w:p>
    <w:p w14:paraId="6B7AA0F0" w14:textId="77777777" w:rsidR="002B4278" w:rsidRPr="002B4278" w:rsidRDefault="002B4278" w:rsidP="002B4278">
      <w:pPr>
        <w:numPr>
          <w:ilvl w:val="0"/>
          <w:numId w:val="9"/>
        </w:numPr>
        <w:jc w:val="both"/>
      </w:pPr>
      <w:r w:rsidRPr="002B4278">
        <w:t>DGSFP (assurance &amp; fonds de pension)</w:t>
      </w:r>
    </w:p>
    <w:p w14:paraId="5A7D0674" w14:textId="77777777" w:rsidR="002B4278" w:rsidRPr="002B4278" w:rsidRDefault="002B4278" w:rsidP="002B4278">
      <w:pPr>
        <w:jc w:val="both"/>
        <w:rPr>
          <w:b/>
          <w:bCs/>
        </w:rPr>
      </w:pPr>
      <w:r w:rsidRPr="002B4278">
        <w:rPr>
          <w:b/>
          <w:bCs/>
        </w:rPr>
        <w:t>Belgique</w:t>
      </w:r>
    </w:p>
    <w:p w14:paraId="096D864E" w14:textId="77777777" w:rsidR="002B4278" w:rsidRPr="002B4278" w:rsidRDefault="002B4278" w:rsidP="002B4278">
      <w:pPr>
        <w:numPr>
          <w:ilvl w:val="0"/>
          <w:numId w:val="10"/>
        </w:numPr>
        <w:jc w:val="both"/>
      </w:pPr>
      <w:r w:rsidRPr="002B4278">
        <w:t>Autorité de Protection des Données (APD/GBA)</w:t>
      </w:r>
    </w:p>
    <w:p w14:paraId="49C622F8" w14:textId="77777777" w:rsidR="002B4278" w:rsidRPr="002B4278" w:rsidRDefault="002B4278" w:rsidP="002B4278">
      <w:pPr>
        <w:numPr>
          <w:ilvl w:val="0"/>
          <w:numId w:val="10"/>
        </w:numPr>
        <w:jc w:val="both"/>
      </w:pPr>
      <w:r w:rsidRPr="002B4278">
        <w:t>FSMA</w:t>
      </w:r>
    </w:p>
    <w:p w14:paraId="51386C9E" w14:textId="77777777" w:rsidR="002B4278" w:rsidRPr="002B4278" w:rsidRDefault="002B4278" w:rsidP="002B4278">
      <w:pPr>
        <w:numPr>
          <w:ilvl w:val="0"/>
          <w:numId w:val="10"/>
        </w:numPr>
        <w:jc w:val="both"/>
      </w:pPr>
      <w:r w:rsidRPr="002B4278">
        <w:t>Banque Nationale de Belgique (BNB)</w:t>
      </w:r>
    </w:p>
    <w:p w14:paraId="7CABD225" w14:textId="77777777" w:rsidR="002B4278" w:rsidRPr="002B4278" w:rsidRDefault="002B4278" w:rsidP="002B4278">
      <w:pPr>
        <w:numPr>
          <w:ilvl w:val="0"/>
          <w:numId w:val="10"/>
        </w:numPr>
        <w:jc w:val="both"/>
      </w:pPr>
      <w:r w:rsidRPr="002B4278">
        <w:t>Autorité belge de la concurrence</w:t>
      </w:r>
    </w:p>
    <w:p w14:paraId="66A9D318" w14:textId="77777777" w:rsidR="002B4278" w:rsidRPr="002B4278" w:rsidRDefault="002B4278" w:rsidP="002B4278">
      <w:pPr>
        <w:numPr>
          <w:ilvl w:val="0"/>
          <w:numId w:val="10"/>
        </w:numPr>
        <w:jc w:val="both"/>
      </w:pPr>
      <w:r w:rsidRPr="002B4278">
        <w:t>Médiateur fédéral (secteur public)</w:t>
      </w:r>
    </w:p>
    <w:p w14:paraId="1C143116" w14:textId="77777777" w:rsidR="002B4278" w:rsidRPr="002B4278" w:rsidRDefault="002B4278" w:rsidP="002B4278">
      <w:pPr>
        <w:jc w:val="both"/>
        <w:rPr>
          <w:b/>
          <w:bCs/>
        </w:rPr>
      </w:pPr>
      <w:r w:rsidRPr="002B4278">
        <w:rPr>
          <w:b/>
          <w:bCs/>
        </w:rPr>
        <w:t>Luxembourg</w:t>
      </w:r>
    </w:p>
    <w:p w14:paraId="4DABEC03" w14:textId="77777777" w:rsidR="002B4278" w:rsidRPr="002B4278" w:rsidRDefault="002B4278" w:rsidP="002B4278">
      <w:pPr>
        <w:numPr>
          <w:ilvl w:val="0"/>
          <w:numId w:val="11"/>
        </w:numPr>
        <w:jc w:val="both"/>
      </w:pPr>
      <w:r w:rsidRPr="002B4278">
        <w:t>CSSF / ACPRL</w:t>
      </w:r>
    </w:p>
    <w:p w14:paraId="578A12D1" w14:textId="77777777" w:rsidR="002B4278" w:rsidRPr="002B4278" w:rsidRDefault="002B4278" w:rsidP="002B4278">
      <w:pPr>
        <w:numPr>
          <w:ilvl w:val="0"/>
          <w:numId w:val="11"/>
        </w:numPr>
        <w:jc w:val="both"/>
      </w:pPr>
      <w:r w:rsidRPr="002B4278">
        <w:t>CNA, CNPD (protection des données)</w:t>
      </w:r>
    </w:p>
    <w:p w14:paraId="6700D30F" w14:textId="77777777" w:rsidR="002B4278" w:rsidRPr="002B4278" w:rsidRDefault="002B4278" w:rsidP="002B4278">
      <w:pPr>
        <w:numPr>
          <w:ilvl w:val="0"/>
          <w:numId w:val="11"/>
        </w:numPr>
        <w:jc w:val="both"/>
      </w:pPr>
      <w:r w:rsidRPr="002B4278">
        <w:t>Autorité de la concurrence</w:t>
      </w:r>
    </w:p>
    <w:p w14:paraId="25ADDF4F" w14:textId="77777777" w:rsidR="002B4278" w:rsidRPr="002B4278" w:rsidRDefault="002B4278" w:rsidP="002B4278">
      <w:pPr>
        <w:jc w:val="both"/>
        <w:rPr>
          <w:b/>
          <w:bCs/>
        </w:rPr>
      </w:pPr>
      <w:r w:rsidRPr="002B4278">
        <w:rPr>
          <w:b/>
          <w:bCs/>
        </w:rPr>
        <w:t>Royaume-Uni</w:t>
      </w:r>
    </w:p>
    <w:p w14:paraId="1A5CB304" w14:textId="77777777" w:rsidR="002B4278" w:rsidRPr="002B4278" w:rsidRDefault="002B4278" w:rsidP="002B4278">
      <w:pPr>
        <w:numPr>
          <w:ilvl w:val="0"/>
          <w:numId w:val="12"/>
        </w:numPr>
        <w:jc w:val="both"/>
      </w:pPr>
      <w:r w:rsidRPr="002B4278">
        <w:t>FCA, PRA / Bank of England</w:t>
      </w:r>
    </w:p>
    <w:p w14:paraId="714C67B5" w14:textId="77777777" w:rsidR="002B4278" w:rsidRPr="002B4278" w:rsidRDefault="002B4278" w:rsidP="002B4278">
      <w:pPr>
        <w:numPr>
          <w:ilvl w:val="0"/>
          <w:numId w:val="12"/>
        </w:numPr>
        <w:jc w:val="both"/>
      </w:pPr>
      <w:r w:rsidRPr="002B4278">
        <w:t>ICO, HMRC, SFO et autres autorités prévues par PIDA</w:t>
      </w:r>
    </w:p>
    <w:p w14:paraId="1B3380FE" w14:textId="0E5DC09E" w:rsidR="002B4278" w:rsidRPr="002B4278" w:rsidRDefault="002B4278" w:rsidP="002B4278">
      <w:pPr>
        <w:jc w:val="both"/>
      </w:pPr>
    </w:p>
    <w:p w14:paraId="21E85C07" w14:textId="77777777" w:rsidR="002B4278" w:rsidRPr="002B4278" w:rsidRDefault="002B4278" w:rsidP="002B4278">
      <w:pPr>
        <w:jc w:val="both"/>
        <w:rPr>
          <w:b/>
          <w:bCs/>
        </w:rPr>
      </w:pPr>
      <w:r w:rsidRPr="002B4278">
        <w:rPr>
          <w:b/>
          <w:bCs/>
        </w:rPr>
        <w:t>Divulgation publique</w:t>
      </w:r>
    </w:p>
    <w:p w14:paraId="6A1F4485" w14:textId="77777777" w:rsidR="002B4278" w:rsidRPr="002B4278" w:rsidRDefault="002B4278" w:rsidP="002B4278">
      <w:pPr>
        <w:jc w:val="both"/>
      </w:pPr>
      <w:r w:rsidRPr="002B4278">
        <w:t>Dans des circonstances strictement encadrées (danger imminent, risque de représailles, etc.), la divulgation publique peut bénéficier d’une protection. Les conditions varient selon les pays. Il est recommandé de consulter l’autorité compétente avant toute divulgation publique.</w:t>
      </w:r>
    </w:p>
    <w:p w14:paraId="01FD84ED" w14:textId="77777777" w:rsidR="002B4278" w:rsidRDefault="002B4278" w:rsidP="002B4278">
      <w:pPr>
        <w:jc w:val="both"/>
      </w:pPr>
    </w:p>
    <w:sectPr w:rsidR="002B427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312CC"/>
    <w:multiLevelType w:val="multilevel"/>
    <w:tmpl w:val="AD74B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EC15FC"/>
    <w:multiLevelType w:val="multilevel"/>
    <w:tmpl w:val="3558D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8C1D8D"/>
    <w:multiLevelType w:val="multilevel"/>
    <w:tmpl w:val="DDA6A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B77EE9"/>
    <w:multiLevelType w:val="multilevel"/>
    <w:tmpl w:val="0682E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091119"/>
    <w:multiLevelType w:val="multilevel"/>
    <w:tmpl w:val="610A3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716C53"/>
    <w:multiLevelType w:val="multilevel"/>
    <w:tmpl w:val="E0580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6633437"/>
    <w:multiLevelType w:val="multilevel"/>
    <w:tmpl w:val="E0FCC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8F06A17"/>
    <w:multiLevelType w:val="multilevel"/>
    <w:tmpl w:val="A6743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C760A1C"/>
    <w:multiLevelType w:val="multilevel"/>
    <w:tmpl w:val="0B1EE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E0F55F9"/>
    <w:multiLevelType w:val="multilevel"/>
    <w:tmpl w:val="0E22B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98C7C8C"/>
    <w:multiLevelType w:val="multilevel"/>
    <w:tmpl w:val="BD367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F6E0DE2"/>
    <w:multiLevelType w:val="multilevel"/>
    <w:tmpl w:val="954AC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83778766">
    <w:abstractNumId w:val="0"/>
  </w:num>
  <w:num w:numId="2" w16cid:durableId="366180060">
    <w:abstractNumId w:val="11"/>
  </w:num>
  <w:num w:numId="3" w16cid:durableId="951937779">
    <w:abstractNumId w:val="1"/>
  </w:num>
  <w:num w:numId="4" w16cid:durableId="382294266">
    <w:abstractNumId w:val="7"/>
  </w:num>
  <w:num w:numId="5" w16cid:durableId="2017995727">
    <w:abstractNumId w:val="2"/>
  </w:num>
  <w:num w:numId="6" w16cid:durableId="96757494">
    <w:abstractNumId w:val="10"/>
  </w:num>
  <w:num w:numId="7" w16cid:durableId="1263025794">
    <w:abstractNumId w:val="6"/>
  </w:num>
  <w:num w:numId="8" w16cid:durableId="947934885">
    <w:abstractNumId w:val="8"/>
  </w:num>
  <w:num w:numId="9" w16cid:durableId="587278339">
    <w:abstractNumId w:val="9"/>
  </w:num>
  <w:num w:numId="10" w16cid:durableId="1231649427">
    <w:abstractNumId w:val="3"/>
  </w:num>
  <w:num w:numId="11" w16cid:durableId="1639455029">
    <w:abstractNumId w:val="5"/>
  </w:num>
  <w:num w:numId="12" w16cid:durableId="5182025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278"/>
    <w:rsid w:val="000F4B29"/>
    <w:rsid w:val="0019509E"/>
    <w:rsid w:val="001B48D2"/>
    <w:rsid w:val="002B4278"/>
    <w:rsid w:val="005B753F"/>
    <w:rsid w:val="006125E4"/>
    <w:rsid w:val="006557E3"/>
    <w:rsid w:val="008A1FDE"/>
    <w:rsid w:val="009140D9"/>
    <w:rsid w:val="00DE3A1F"/>
    <w:rsid w:val="00F9251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E6DF532"/>
  <w15:chartTrackingRefBased/>
  <w15:docId w15:val="{EB733D22-B8EE-4FCA-AED3-8620F387D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2B42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2B42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2B4278"/>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2B4278"/>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2B4278"/>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2B4278"/>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2B4278"/>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2B4278"/>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2B4278"/>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B4278"/>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2B4278"/>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2B4278"/>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2B4278"/>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2B4278"/>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2B4278"/>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2B4278"/>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2B4278"/>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2B4278"/>
    <w:rPr>
      <w:rFonts w:eastAsiaTheme="majorEastAsia" w:cstheme="majorBidi"/>
      <w:color w:val="272727" w:themeColor="text1" w:themeTint="D8"/>
    </w:rPr>
  </w:style>
  <w:style w:type="paragraph" w:styleId="Titre">
    <w:name w:val="Title"/>
    <w:basedOn w:val="Normal"/>
    <w:next w:val="Normal"/>
    <w:link w:val="TitreCar"/>
    <w:uiPriority w:val="10"/>
    <w:qFormat/>
    <w:rsid w:val="002B42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2B4278"/>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2B4278"/>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2B4278"/>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2B4278"/>
    <w:pPr>
      <w:spacing w:before="160"/>
      <w:jc w:val="center"/>
    </w:pPr>
    <w:rPr>
      <w:i/>
      <w:iCs/>
      <w:color w:val="404040" w:themeColor="text1" w:themeTint="BF"/>
    </w:rPr>
  </w:style>
  <w:style w:type="character" w:customStyle="1" w:styleId="CitationCar">
    <w:name w:val="Citation Car"/>
    <w:basedOn w:val="Policepardfaut"/>
    <w:link w:val="Citation"/>
    <w:uiPriority w:val="29"/>
    <w:rsid w:val="002B4278"/>
    <w:rPr>
      <w:i/>
      <w:iCs/>
      <w:color w:val="404040" w:themeColor="text1" w:themeTint="BF"/>
    </w:rPr>
  </w:style>
  <w:style w:type="paragraph" w:styleId="Paragraphedeliste">
    <w:name w:val="List Paragraph"/>
    <w:basedOn w:val="Normal"/>
    <w:uiPriority w:val="34"/>
    <w:qFormat/>
    <w:rsid w:val="002B4278"/>
    <w:pPr>
      <w:ind w:left="720"/>
      <w:contextualSpacing/>
    </w:pPr>
  </w:style>
  <w:style w:type="character" w:styleId="Accentuationintense">
    <w:name w:val="Intense Emphasis"/>
    <w:basedOn w:val="Policepardfaut"/>
    <w:uiPriority w:val="21"/>
    <w:qFormat/>
    <w:rsid w:val="002B4278"/>
    <w:rPr>
      <w:i/>
      <w:iCs/>
      <w:color w:val="0F4761" w:themeColor="accent1" w:themeShade="BF"/>
    </w:rPr>
  </w:style>
  <w:style w:type="paragraph" w:styleId="Citationintense">
    <w:name w:val="Intense Quote"/>
    <w:basedOn w:val="Normal"/>
    <w:next w:val="Normal"/>
    <w:link w:val="CitationintenseCar"/>
    <w:uiPriority w:val="30"/>
    <w:qFormat/>
    <w:rsid w:val="002B42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2B4278"/>
    <w:rPr>
      <w:i/>
      <w:iCs/>
      <w:color w:val="0F4761" w:themeColor="accent1" w:themeShade="BF"/>
    </w:rPr>
  </w:style>
  <w:style w:type="character" w:styleId="Rfrenceintense">
    <w:name w:val="Intense Reference"/>
    <w:basedOn w:val="Policepardfaut"/>
    <w:uiPriority w:val="32"/>
    <w:qFormat/>
    <w:rsid w:val="002B427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cid:signature-image-3EDC09DB-FFED-4AF8-852C-173CBF1543EB"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MigrationWizId xmlns="ffea8905-9322-44be-aae7-ee4644e66a6b" xsi:nil="true"/>
    <lcf76f155ced4ddcb4097134ff3c332f xmlns="ffea8905-9322-44be-aae7-ee4644e66a6b">
      <Terms xmlns="http://schemas.microsoft.com/office/infopath/2007/PartnerControls"/>
    </lcf76f155ced4ddcb4097134ff3c332f>
    <TaxCatchAll xmlns="f9e54bd5-fed9-45de-94dc-bf68f19b76b1" xsi:nil="true"/>
    <artis xmlns="ffea8905-9322-44be-aae7-ee4644e66a6b" xsi:nil="true"/>
    <MigrationWizIdVersion xmlns="ffea8905-9322-44be-aae7-ee4644e66a6b" xsi:nil="true"/>
    <lcf76f155ced4ddcb4097134ff3c332f0 xmlns="ffea8905-9322-44be-aae7-ee4644e66a6b" xsi:nil="true"/>
    <MigrationWizIdDocumentLibraryPermissions xmlns="ffea8905-9322-44be-aae7-ee4644e66a6b" xsi:nil="true"/>
    <MigrationWizIdSecurityGroups xmlns="ffea8905-9322-44be-aae7-ee4644e66a6b" xsi:nil="true"/>
    <MigrationWizIdPermissionLevels xmlns="ffea8905-9322-44be-aae7-ee4644e66a6b" xsi:nil="true"/>
    <MigrationWizIdPermissions xmlns="ffea8905-9322-44be-aae7-ee4644e66a6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CC2ECF487299D47B344D5AC35923856" ma:contentTypeVersion="24" ma:contentTypeDescription="Create a new document." ma:contentTypeScope="" ma:versionID="ca2d03fd69f5aabfc7419a2a2c9d95e4">
  <xsd:schema xmlns:xsd="http://www.w3.org/2001/XMLSchema" xmlns:xs="http://www.w3.org/2001/XMLSchema" xmlns:p="http://schemas.microsoft.com/office/2006/metadata/properties" xmlns:ns2="ffea8905-9322-44be-aae7-ee4644e66a6b" xmlns:ns3="f9e54bd5-fed9-45de-94dc-bf68f19b76b1" targetNamespace="http://schemas.microsoft.com/office/2006/metadata/properties" ma:root="true" ma:fieldsID="124a378ef8eb94eb7094795af36c5181" ns2:_="" ns3:_="">
    <xsd:import namespace="ffea8905-9322-44be-aae7-ee4644e66a6b"/>
    <xsd:import namespace="f9e54bd5-fed9-45de-94dc-bf68f19b76b1"/>
    <xsd:element name="properties">
      <xsd:complexType>
        <xsd:sequence>
          <xsd:element name="documentManagement">
            <xsd:complexType>
              <xsd:all>
                <xsd:element ref="ns2:MigrationWizId" minOccurs="0"/>
                <xsd:element ref="ns2:MigrationWizIdPermissions" minOccurs="0"/>
                <xsd:element ref="ns2:MigrationWizIdVersion" minOccurs="0"/>
                <xsd:element ref="ns2:MigrationWizIdPermissionLevels" minOccurs="0"/>
                <xsd:element ref="ns2:MigrationWizIdDocumentLibraryPermissions" minOccurs="0"/>
                <xsd:element ref="ns2:MigrationWizIdSecurityGroups" minOccurs="0"/>
                <xsd:element ref="ns2:lcf76f155ced4ddcb4097134ff3c332f0" minOccurs="0"/>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SearchProperties" minOccurs="0"/>
                <xsd:element ref="ns2:arti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ea8905-9322-44be-aae7-ee4644e66a6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Version" ma:index="10" nillable="true" ma:displayName="MigrationWizIdVersion" ma:internalName="MigrationWizIdVersion">
      <xsd:simpleType>
        <xsd:restriction base="dms:Text"/>
      </xsd:simpleType>
    </xsd:element>
    <xsd:element name="MigrationWizIdPermissionLevels" ma:index="11" nillable="true" ma:displayName="MigrationWizIdPermissionLevels" ma:internalName="MigrationWizIdPermissionLevels">
      <xsd:simpleType>
        <xsd:restriction base="dms:Text"/>
      </xsd:simpleType>
    </xsd:element>
    <xsd:element name="MigrationWizIdDocumentLibraryPermissions" ma:index="12" nillable="true" ma:displayName="MigrationWizIdDocumentLibraryPermissions" ma:internalName="MigrationWizIdDocumentLibraryPermissions">
      <xsd:simpleType>
        <xsd:restriction base="dms:Text"/>
      </xsd:simpleType>
    </xsd:element>
    <xsd:element name="MigrationWizIdSecurityGroups" ma:index="13" nillable="true" ma:displayName="MigrationWizIdSecurityGroups" ma:internalName="MigrationWizIdSecurityGroups">
      <xsd:simpleType>
        <xsd:restriction base="dms:Text"/>
      </xsd:simpleType>
    </xsd:element>
    <xsd:element name="lcf76f155ced4ddcb4097134ff3c332f0" ma:index="14" nillable="true" ma:displayName="Image Tags_0" ma:hidden="true" ma:internalName="lcf76f155ced4ddcb4097134ff3c332f0" ma:readOnly="false">
      <xsd:simpleType>
        <xsd:restriction base="dms:Note"/>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81f2446-a458-486b-b28d-e8729366abff" ma:termSetId="09814cd3-568e-fe90-9814-8d621ff8fb84" ma:anchorId="fba54fb3-c3e1-fe81-a776-ca4b69148c4d" ma:open="true" ma:isKeyword="false">
      <xsd:complexType>
        <xsd:sequence>
          <xsd:element ref="pc:Terms" minOccurs="0" maxOccurs="1"/>
        </xsd:sequence>
      </xsd:complex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OCR" ma:index="25" nillable="true" ma:displayName="Extracted Text" ma:internalName="MediaServiceOCR" ma:readOnly="true">
      <xsd:simpleType>
        <xsd:restriction base="dms:Note">
          <xsd:maxLength value="255"/>
        </xsd:restriction>
      </xsd:simpleType>
    </xsd:element>
    <xsd:element name="MediaServiceLocation" ma:index="28" nillable="true" ma:displayName="Location" ma:description="" ma:indexed="true" ma:internalName="MediaServiceLocation"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artis" ma:index="30" nillable="true" ma:displayName="artis" ma:format="Dropdown" ma:internalName="artis">
      <xsd:simpleType>
        <xsd:restriction base="dms:Choice">
          <xsd:enumeration value="Choix 1"/>
          <xsd:enumeration value="Choix 2"/>
          <xsd:enumeration value="Choix 3"/>
        </xsd:restriction>
      </xsd:simpleType>
    </xsd:element>
    <xsd:element name="MediaServiceBillingMetadata" ma:index="3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e54bd5-fed9-45de-94dc-bf68f19b76b1"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98d7b5d5-b38b-4554-ada8-7b061099219e}" ma:internalName="TaxCatchAll" ma:showField="CatchAllData" ma:web="f9e54bd5-fed9-45de-94dc-bf68f19b76b1">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6C07B0-430D-4B35-AB70-ABE52929B9AA}">
  <ds:schemaRefs>
    <ds:schemaRef ds:uri="http://schemas.microsoft.com/office/2006/metadata/properties"/>
    <ds:schemaRef ds:uri="http://schemas.microsoft.com/office/infopath/2007/PartnerControls"/>
    <ds:schemaRef ds:uri="ffea8905-9322-44be-aae7-ee4644e66a6b"/>
    <ds:schemaRef ds:uri="f9e54bd5-fed9-45de-94dc-bf68f19b76b1"/>
  </ds:schemaRefs>
</ds:datastoreItem>
</file>

<file path=customXml/itemProps2.xml><?xml version="1.0" encoding="utf-8"?>
<ds:datastoreItem xmlns:ds="http://schemas.openxmlformats.org/officeDocument/2006/customXml" ds:itemID="{CC85F6E3-0E4A-47A2-95DC-6D5B37FA0986}">
  <ds:schemaRefs>
    <ds:schemaRef ds:uri="http://schemas.microsoft.com/sharepoint/v3/contenttype/forms"/>
  </ds:schemaRefs>
</ds:datastoreItem>
</file>

<file path=customXml/itemProps3.xml><?xml version="1.0" encoding="utf-8"?>
<ds:datastoreItem xmlns:ds="http://schemas.openxmlformats.org/officeDocument/2006/customXml" ds:itemID="{37E2237E-ED05-4DF6-8487-206940D8D5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ea8905-9322-44be-aae7-ee4644e66a6b"/>
    <ds:schemaRef ds:uri="f9e54bd5-fed9-45de-94dc-bf68f19b76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1090</Words>
  <Characters>6700</Characters>
  <Application>Microsoft Office Word</Application>
  <DocSecurity>4</DocSecurity>
  <Lines>149</Lines>
  <Paragraphs>87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Paradiso</dc:creator>
  <cp:keywords/>
  <dc:description/>
  <cp:lastModifiedBy>NGUYEN Emily</cp:lastModifiedBy>
  <cp:revision>2</cp:revision>
  <dcterms:created xsi:type="dcterms:W3CDTF">2026-03-23T15:27:00Z</dcterms:created>
  <dcterms:modified xsi:type="dcterms:W3CDTF">2026-03-23T15:27:00Z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0x010100DCC2ECF487299D47B344D5AC35923856</vt:lpwstr>
  </property>
  <property fmtid="{D5CDD505-2E9C-101B-9397-08002B2CF9AE}" pid="3" name="MediaServiceImageTags">
    <vt:lpwstr/>
  </property>
</Properties>
</file>